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4142"/>
        <w:gridCol w:w="5387"/>
        <w:gridCol w:w="312"/>
      </w:tblGrid>
      <w:tr w:rsidR="00AE6AF5" w14:paraId="72439C6C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E4398A4" w14:textId="77777777" w:rsidR="00AE6AF5" w:rsidRDefault="00EE5A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AE6AF5" w14:paraId="3A2C361A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4DB10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4CA28" w14:textId="77777777" w:rsidR="00AE6AF5" w:rsidRDefault="00AE6A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E6AF5" w14:paraId="5FF8DD49" w14:textId="77777777" w:rsidTr="00A22C35">
        <w:trPr>
          <w:trHeight w:val="6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24478E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9F0B3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3BBE6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37C3B39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347377B2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4E22B7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14:paraId="7596C794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0BD3D8C8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3B61D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E5732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E6AF5" w14:paraId="66E72FC0" w14:textId="77777777" w:rsidTr="00A22C35">
        <w:trPr>
          <w:trHeight w:val="9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02C4C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04FEE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71BA6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7DCA65D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1CA75386" w14:textId="77777777" w:rsidTr="00A22C35">
        <w:trPr>
          <w:trHeight w:val="345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FBD3A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42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2AB4A2A" w14:textId="77777777" w:rsidR="00AE6AF5" w:rsidRDefault="007D65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387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048FCE7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B1B2D58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71721BA" w14:textId="77777777" w:rsidTr="00A22C35">
        <w:trPr>
          <w:trHeight w:val="345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C0B41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142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C8892B5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E70F848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EF1A36B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6712617C" w14:textId="77777777" w:rsidTr="00A22C35">
        <w:trPr>
          <w:trHeight w:val="405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5BEF4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2B5D13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E71DA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828AC4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526B99D" w14:textId="77777777" w:rsidTr="00A22C35">
        <w:trPr>
          <w:trHeight w:val="51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32BB9F" w14:textId="77777777" w:rsidR="00AE6AF5" w:rsidRDefault="007D65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9FC" w14:textId="03EDACB8" w:rsidR="00AE6AF5" w:rsidRDefault="002E7E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t>Tulek</w:t>
            </w:r>
          </w:p>
        </w:tc>
        <w:tc>
          <w:tcPr>
            <w:tcW w:w="312" w:type="dxa"/>
            <w:vAlign w:val="center"/>
          </w:tcPr>
          <w:p w14:paraId="48A3F625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2CBB54D0" w14:textId="77777777" w:rsidTr="00A22C35">
        <w:trPr>
          <w:trHeight w:val="315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49ABB1E6" w14:textId="77777777" w:rsidR="00AE6AF5" w:rsidRDefault="007D65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D493AD" w14:textId="0B66434D" w:rsidR="00AE6AF5" w:rsidRDefault="002E7E48" w:rsidP="00D001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t>Michal</w:t>
            </w:r>
          </w:p>
        </w:tc>
        <w:tc>
          <w:tcPr>
            <w:tcW w:w="312" w:type="dxa"/>
            <w:vAlign w:val="center"/>
          </w:tcPr>
          <w:p w14:paraId="28324CDC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12A3A05" w14:textId="77777777" w:rsidTr="00A22C35">
        <w:trPr>
          <w:trHeight w:val="559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9B16E94" w14:textId="77777777" w:rsidR="00AE6AF5" w:rsidRDefault="007D65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EBF464" w14:textId="3EAF043F" w:rsidR="00AE6AF5" w:rsidRDefault="002E7E48" w:rsidP="00B74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t>MUDr., PhD., MHA</w:t>
            </w:r>
          </w:p>
        </w:tc>
        <w:tc>
          <w:tcPr>
            <w:tcW w:w="312" w:type="dxa"/>
            <w:vAlign w:val="center"/>
          </w:tcPr>
          <w:p w14:paraId="750B64E2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01409CA" w14:textId="77777777" w:rsidTr="00A22C35">
        <w:trPr>
          <w:trHeight w:val="66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C00BED6" w14:textId="77777777" w:rsidR="00AE6AF5" w:rsidRDefault="007D65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A5FC99" w14:textId="0F1C6D3D" w:rsidR="00A22C35" w:rsidRPr="00A22C35" w:rsidRDefault="005446A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5446A9">
              <w:rPr>
                <w:rFonts w:eastAsia="Times New Roman" w:cstheme="minorHAnsi"/>
                <w:sz w:val="16"/>
                <w:szCs w:val="16"/>
                <w:lang w:eastAsia="sk-SK"/>
              </w:rPr>
              <w:t>https://www.portalvs.sk/regzam/detail/42584</w:t>
            </w:r>
          </w:p>
        </w:tc>
        <w:tc>
          <w:tcPr>
            <w:tcW w:w="312" w:type="dxa"/>
            <w:vAlign w:val="center"/>
          </w:tcPr>
          <w:p w14:paraId="31D83FCB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66A40680" w14:textId="77777777" w:rsidTr="00336DF4">
        <w:trPr>
          <w:trHeight w:val="207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BC86952" w14:textId="77777777" w:rsidR="00AE6AF5" w:rsidRDefault="007D65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7D2796" w14:textId="392BBB26" w:rsidR="00AE6AF5" w:rsidRPr="00336DF4" w:rsidRDefault="00EE5AED" w:rsidP="00D0018F">
            <w:pPr>
              <w:pStyle w:val="PredformtovanHTML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D0018F">
              <w:rPr>
                <w:rFonts w:ascii="Calibri" w:hAnsi="Calibri" w:cs="Calibri"/>
                <w:color w:val="000000"/>
                <w:sz w:val="16"/>
                <w:szCs w:val="16"/>
              </w:rPr>
              <w:t>Zubná technika– I.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stupeň/ </w:t>
            </w:r>
            <w:r w:rsidR="00D0018F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Dental technicial- I.</w:t>
            </w:r>
            <w:r w:rsidR="001C08B3" w:rsidRPr="001C08B3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degree</w:t>
            </w:r>
          </w:p>
        </w:tc>
        <w:tc>
          <w:tcPr>
            <w:tcW w:w="312" w:type="dxa"/>
            <w:vAlign w:val="center"/>
          </w:tcPr>
          <w:p w14:paraId="56647331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3B0E6CE9" w14:textId="77777777" w:rsidTr="00A22C35">
        <w:trPr>
          <w:trHeight w:val="972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D9A4553" w14:textId="77777777" w:rsidR="00AE6AF5" w:rsidRDefault="007D654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EE5AE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7CDB43" w14:textId="67DD819C" w:rsidR="00100018" w:rsidRPr="00F45758" w:rsidRDefault="00EE5AED" w:rsidP="00F45758">
            <w:pPr>
              <w:spacing w:after="0" w:line="240" w:lineRule="auto"/>
              <w:rPr>
                <w:rFonts w:cstheme="minorHAnsi"/>
                <w:bCs/>
                <w:sz w:val="16"/>
                <w:szCs w:val="16"/>
              </w:rPr>
            </w:pPr>
            <w:r w:rsidRPr="0098012E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4647BF" w:rsidRPr="004647BF">
              <w:rPr>
                <w:sz w:val="18"/>
              </w:rPr>
              <w:t>odborný výstup / professional output</w:t>
            </w:r>
          </w:p>
          <w:p w14:paraId="025321C2" w14:textId="77777777" w:rsidR="009A7080" w:rsidRDefault="009A7080" w:rsidP="00B74826">
            <w:pPr>
              <w:spacing w:after="0" w:line="240" w:lineRule="auto"/>
              <w:jc w:val="both"/>
              <w:rPr>
                <w:sz w:val="16"/>
              </w:rPr>
            </w:pPr>
          </w:p>
          <w:p w14:paraId="75F7EBDA" w14:textId="0FCEBFC5" w:rsidR="009A7080" w:rsidRPr="00B753AC" w:rsidRDefault="009A7080" w:rsidP="00B74826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1FEE86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3041B9B" w14:textId="77777777" w:rsidTr="00A22C35">
        <w:trPr>
          <w:trHeight w:val="51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3750581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60FE0E" w14:textId="6445AECE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E622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19</w:t>
            </w:r>
          </w:p>
        </w:tc>
        <w:tc>
          <w:tcPr>
            <w:tcW w:w="312" w:type="dxa"/>
            <w:vAlign w:val="center"/>
          </w:tcPr>
          <w:p w14:paraId="42FF30E8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22C35" w14:paraId="6CC9BD6C" w14:textId="77777777" w:rsidTr="00E42110">
        <w:trPr>
          <w:trHeight w:val="66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A3F5A7" w14:textId="77777777" w:rsidR="00A22C35" w:rsidRDefault="007D6548" w:rsidP="00A22C3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A22C3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A22C3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A22C3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A22C3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013FA89" w14:textId="3195692D" w:rsidR="00A22C35" w:rsidRDefault="00A22C35" w:rsidP="00A22C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97F1EB5" w14:textId="77777777" w:rsidR="00A22C35" w:rsidRDefault="00A22C35" w:rsidP="00A22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37273550" w14:textId="77777777" w:rsidTr="00A22C35">
        <w:trPr>
          <w:trHeight w:val="494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274D6DE" w14:textId="77777777" w:rsidR="00336DF4" w:rsidRDefault="007D6548" w:rsidP="00336D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63B53A" w14:textId="79C02AC7" w:rsidR="00336DF4" w:rsidRPr="007A4E3A" w:rsidRDefault="00336DF4" w:rsidP="00336DF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72C3CDA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73DF2CB6" w14:textId="77777777" w:rsidTr="000728AA">
        <w:trPr>
          <w:trHeight w:val="855"/>
        </w:trPr>
        <w:tc>
          <w:tcPr>
            <w:tcW w:w="6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63507CA" w14:textId="77777777" w:rsidR="00336DF4" w:rsidRDefault="00336DF4" w:rsidP="00336D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78C664" w14:textId="77777777" w:rsidR="00336DF4" w:rsidRDefault="007D6548" w:rsidP="00336D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5FEDD5" w14:textId="3619EC7B" w:rsidR="00336DF4" w:rsidRDefault="00336DF4" w:rsidP="00336DF4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233AF76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7B412B88" w14:textId="77777777" w:rsidTr="00A22C35">
        <w:trPr>
          <w:trHeight w:val="1383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C34311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4F0D43F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08B460" w14:textId="4B1D2E7C" w:rsidR="00E622FD" w:rsidRDefault="00E622FD" w:rsidP="00E622FD">
            <w:pPr>
              <w:spacing w:after="0" w:line="240" w:lineRule="auto"/>
              <w:jc w:val="both"/>
            </w:pPr>
            <w:r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Knošková, E. - Tulek, M. - Knošková, M. - Kollár, D - </w:t>
            </w:r>
            <w:r>
              <w:rPr>
                <w:rFonts w:eastAsia="Times New Roman" w:cs="Times New Roman"/>
                <w:bCs/>
                <w:sz w:val="16"/>
                <w:szCs w:val="16"/>
                <w:lang w:eastAsia="sk-SK"/>
              </w:rPr>
              <w:t>Drgová, J.</w:t>
            </w:r>
            <w:r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2019. </w:t>
            </w:r>
            <w:r>
              <w:rPr>
                <w:rFonts w:eastAsia="Times New Roman" w:cs="Times New Roman"/>
                <w:bCs/>
                <w:sz w:val="16"/>
                <w:szCs w:val="16"/>
                <w:lang w:eastAsia="sk-SK"/>
              </w:rPr>
              <w:t>Verejné zdravotníctvo  a komparácia manažmentu mimoriadnych situácií spôsobených klimatickými zmenami.</w:t>
            </w:r>
            <w:r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In: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eastAsia="sk-SK"/>
              </w:rPr>
              <w:t>ZDRAVOTNÍCTVO A SOCIÁLNA PRÁCA.</w:t>
            </w:r>
            <w:r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- ISSN 1336-9326. - Roč. 14, č. 4 (2019) s. 188-200. </w:t>
            </w:r>
            <w:r>
              <w:rPr>
                <w:rFonts w:eastAsia="Times New Roman" w:cs="Times New Roman"/>
                <w:bCs/>
                <w:sz w:val="16"/>
                <w:szCs w:val="16"/>
                <w:lang w:eastAsia="sk-SK"/>
              </w:rPr>
              <w:t>(20%)</w:t>
            </w:r>
          </w:p>
          <w:p w14:paraId="260B2C09" w14:textId="17460A60" w:rsidR="00DC6E78" w:rsidRPr="00561C27" w:rsidRDefault="00DC6E78" w:rsidP="00B74826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5A5231F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40DB7260" w14:textId="77777777" w:rsidTr="004A7967">
        <w:trPr>
          <w:trHeight w:val="986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0075B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396E6C7" w14:textId="77777777" w:rsidR="00336DF4" w:rsidRDefault="007D6548" w:rsidP="00336D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36DF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45BACA" w14:textId="7058037A" w:rsidR="00336DF4" w:rsidRPr="00561C27" w:rsidRDefault="004647BF" w:rsidP="00336DF4">
            <w:pPr>
              <w:pStyle w:val="Textpoznmkypodi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Článok/article</w:t>
            </w:r>
          </w:p>
        </w:tc>
        <w:tc>
          <w:tcPr>
            <w:tcW w:w="312" w:type="dxa"/>
            <w:vAlign w:val="center"/>
          </w:tcPr>
          <w:p w14:paraId="5F1B9978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0B767598" w14:textId="77777777" w:rsidTr="000728AA">
        <w:trPr>
          <w:trHeight w:val="739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FA84A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CA7E96F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B33D43" w14:textId="335150D4" w:rsidR="00336DF4" w:rsidRDefault="00336DF4" w:rsidP="00336DF4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7420996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24C551A2" w14:textId="77777777" w:rsidTr="00A22C35">
        <w:trPr>
          <w:trHeight w:val="765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8A013D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B5E63C3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476528" w14:textId="1192FE19" w:rsidR="00336DF4" w:rsidRPr="000728AA" w:rsidRDefault="00801D71" w:rsidP="00E622FD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 autora Tulek</w:t>
            </w:r>
            <w:r w:rsidR="00336DF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336DF4" w:rsidRPr="0098012E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E622FD">
              <w:rPr>
                <w:rFonts w:asciiTheme="minorHAnsi" w:hAnsiTheme="minorHAnsi" w:cstheme="minorHAnsi"/>
                <w:sz w:val="16"/>
                <w:szCs w:val="16"/>
              </w:rPr>
              <w:t>20%</w:t>
            </w:r>
            <w:r w:rsidR="00336DF4" w:rsidRPr="0098012E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 w:rsidR="00336DF4" w:rsidRPr="0098012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336DF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/ </w:t>
            </w:r>
            <w:r w:rsidR="00336DF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336DF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M. Tulek</w:t>
            </w:r>
            <w:r w:rsidR="00D0018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336DF4" w:rsidRPr="0098012E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E622FD">
              <w:rPr>
                <w:rFonts w:asciiTheme="minorHAnsi" w:hAnsiTheme="minorHAnsi" w:cstheme="minorHAnsi"/>
                <w:sz w:val="16"/>
                <w:szCs w:val="16"/>
              </w:rPr>
              <w:t>20</w:t>
            </w:r>
            <w:r w:rsidR="00336DF4" w:rsidRPr="0098012E">
              <w:rPr>
                <w:rFonts w:asciiTheme="minorHAnsi" w:hAnsiTheme="minorHAnsi" w:cstheme="minorHAnsi"/>
                <w:sz w:val="16"/>
                <w:szCs w:val="16"/>
              </w:rPr>
              <w:t>%)</w:t>
            </w:r>
            <w:r w:rsidR="00336DF4" w:rsidRPr="0098012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336DF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79008A44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46D3" w14:paraId="5C20E741" w14:textId="77777777" w:rsidTr="00A64E77">
        <w:trPr>
          <w:trHeight w:val="1965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D9824D" w14:textId="77777777" w:rsidR="007346D3" w:rsidRDefault="007346D3" w:rsidP="00734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368A4A1" w14:textId="77777777" w:rsidR="007346D3" w:rsidRDefault="007D6548" w:rsidP="007346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7346D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7346D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46D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46D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7346D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DC5017" w14:textId="77777777" w:rsidR="00E622FD" w:rsidRDefault="00E622FD" w:rsidP="00E622F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Podiel autora je v spracovaní jednotlivých častí článku v rozsahu 2 strany t.j. 25% , pričom ide o charakteristiku mimoriadnych situácií v oblasti manažmentu verejného zdravotníctva. </w:t>
            </w:r>
          </w:p>
          <w:p w14:paraId="7FF97511" w14:textId="77777777" w:rsidR="00E622FD" w:rsidRDefault="00E622FD" w:rsidP="00E622F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  <w:p w14:paraId="511632FC" w14:textId="200D10E7" w:rsidR="007346D3" w:rsidRPr="000C22BD" w:rsidRDefault="00E622FD" w:rsidP="00E622F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801D7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The author's share in the elaboration of the individual parts of the article is 2 pages, i.e. 25% , while it is about the characteristics of emergency situations in the field of public health management</w:t>
            </w:r>
          </w:p>
        </w:tc>
        <w:tc>
          <w:tcPr>
            <w:tcW w:w="312" w:type="dxa"/>
            <w:vAlign w:val="center"/>
          </w:tcPr>
          <w:p w14:paraId="5BAECDFA" w14:textId="77777777" w:rsidR="007346D3" w:rsidRDefault="007346D3" w:rsidP="00734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46D3" w14:paraId="6B75FEA7" w14:textId="77777777" w:rsidTr="00A22C35">
        <w:trPr>
          <w:trHeight w:val="915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55496FB" w14:textId="77777777" w:rsidR="007346D3" w:rsidRDefault="007D6548" w:rsidP="007346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7346D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7346D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46D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46D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F8F3CA" w14:textId="77777777" w:rsidR="00E622FD" w:rsidRDefault="00E622FD" w:rsidP="00E622FD">
            <w:pPr>
              <w:pStyle w:val="PredformtovanHTML"/>
              <w:jc w:val="both"/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</w:pPr>
            <w:r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Z jednotlivych odborných článkov resp. ich častí sú</w:t>
            </w:r>
            <w:r w:rsidRPr="00801124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 xml:space="preserve"> frekventantom odp</w:t>
            </w:r>
            <w:r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rednašané</w:t>
            </w:r>
            <w:r w:rsidRPr="00801124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 xml:space="preserve"> </w:t>
            </w:r>
            <w:r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jednotlivé</w:t>
            </w:r>
            <w:r w:rsidRPr="00801124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 xml:space="preserve"> </w:t>
            </w:r>
            <w:r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 xml:space="preserve"> </w:t>
            </w:r>
            <w:r w:rsidRPr="00801124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tematické celky</w:t>
            </w:r>
            <w:r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, ktoré nadväzujú na teoretický predmet verejné zdravotníctvo.</w:t>
            </w:r>
          </w:p>
          <w:p w14:paraId="79AD750E" w14:textId="77777777" w:rsidR="00E622FD" w:rsidRDefault="00E622FD" w:rsidP="00E622FD">
            <w:pPr>
              <w:pStyle w:val="PredformtovanHTML"/>
              <w:jc w:val="both"/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</w:pPr>
            <w:r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/</w:t>
            </w:r>
          </w:p>
          <w:p w14:paraId="7967F3FE" w14:textId="0E7090C7" w:rsidR="007346D3" w:rsidRPr="00801124" w:rsidRDefault="00E622FD" w:rsidP="00E622FD">
            <w:pPr>
              <w:pStyle w:val="PredformtovanHTML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 xml:space="preserve"> </w:t>
            </w:r>
            <w:r w:rsidRPr="00801D71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The individual thematic units are presented to the trainees from the individual articles or their parts, which are related to the theoretical subject of public health care.</w:t>
            </w:r>
          </w:p>
        </w:tc>
        <w:tc>
          <w:tcPr>
            <w:tcW w:w="312" w:type="dxa"/>
            <w:vAlign w:val="center"/>
          </w:tcPr>
          <w:p w14:paraId="24083F6D" w14:textId="77777777" w:rsidR="007346D3" w:rsidRDefault="007346D3" w:rsidP="00734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46D3" w14:paraId="6BFC51C6" w14:textId="77777777" w:rsidTr="00A22C35">
        <w:trPr>
          <w:trHeight w:val="81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8B74681" w14:textId="77777777" w:rsidR="007346D3" w:rsidRPr="00F12DCA" w:rsidRDefault="007346D3" w:rsidP="007346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12DC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 w:rsidRPr="00F12DC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F12DC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F9C01B" w14:textId="401C56C8" w:rsidR="007346D3" w:rsidRDefault="007346D3" w:rsidP="007346D3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 </w:t>
            </w:r>
          </w:p>
          <w:p w14:paraId="6AF272B4" w14:textId="64D9466A" w:rsidR="007346D3" w:rsidRPr="00F12DCA" w:rsidRDefault="007346D3" w:rsidP="007346D3">
            <w:pPr>
              <w:spacing w:after="0"/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</w:pPr>
            <w:r>
              <w:rPr>
                <w:rFonts w:cstheme="minorHAnsi"/>
                <w:sz w:val="16"/>
                <w:szCs w:val="16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312" w:type="dxa"/>
            <w:vAlign w:val="center"/>
          </w:tcPr>
          <w:p w14:paraId="7227628B" w14:textId="77777777" w:rsidR="007346D3" w:rsidRDefault="007346D3" w:rsidP="00734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46D3" w14:paraId="44E2B17F" w14:textId="77777777" w:rsidTr="00A22C35">
        <w:trPr>
          <w:trHeight w:val="117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9DA0CB2" w14:textId="77777777" w:rsidR="007346D3" w:rsidRDefault="007346D3" w:rsidP="00734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54E5DC" w14:textId="77777777" w:rsidR="00E622FD" w:rsidRPr="00801D71" w:rsidRDefault="00E622FD" w:rsidP="00E622FD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sz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Výstup sa zameriava na teoretické informácie </w:t>
            </w:r>
            <w:r>
              <w:rPr>
                <w:rFonts w:asciiTheme="minorHAnsi" w:hAnsiTheme="minorHAnsi" w:cstheme="minorHAnsi"/>
                <w:sz w:val="16"/>
              </w:rPr>
              <w:t>v</w:t>
            </w:r>
            <w:r w:rsidRPr="00801D71">
              <w:rPr>
                <w:rFonts w:asciiTheme="minorHAnsi" w:hAnsiTheme="minorHAnsi" w:cstheme="minorHAnsi"/>
                <w:sz w:val="16"/>
              </w:rPr>
              <w:t>erejné</w:t>
            </w:r>
            <w:r>
              <w:rPr>
                <w:rFonts w:asciiTheme="minorHAnsi" w:hAnsiTheme="minorHAnsi" w:cstheme="minorHAnsi"/>
                <w:sz w:val="16"/>
              </w:rPr>
              <w:t>ho zdravotníctva</w:t>
            </w:r>
            <w:r w:rsidRPr="00801D71">
              <w:rPr>
                <w:rFonts w:asciiTheme="minorHAnsi" w:hAnsiTheme="minorHAnsi" w:cstheme="minorHAnsi"/>
                <w:sz w:val="16"/>
              </w:rPr>
              <w:t xml:space="preserve"> a manažment mimoriadnych situácií</w:t>
            </w:r>
            <w:r>
              <w:rPr>
                <w:rFonts w:asciiTheme="minorHAnsi" w:hAnsiTheme="minorHAnsi" w:cstheme="minorHAnsi"/>
                <w:sz w:val="16"/>
              </w:rPr>
              <w:t>.</w:t>
            </w:r>
          </w:p>
          <w:p w14:paraId="0B02E23F" w14:textId="77777777" w:rsidR="00E622FD" w:rsidRDefault="00E622FD" w:rsidP="00E622FD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/</w:t>
            </w:r>
          </w:p>
          <w:p w14:paraId="4D25D491" w14:textId="08AE3CA5" w:rsidR="007346D3" w:rsidRPr="007346D3" w:rsidRDefault="00E622FD" w:rsidP="00E622FD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5532D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The output focuses on theoretical public health information and emergency management.</w:t>
            </w:r>
          </w:p>
        </w:tc>
        <w:tc>
          <w:tcPr>
            <w:tcW w:w="312" w:type="dxa"/>
            <w:vAlign w:val="center"/>
          </w:tcPr>
          <w:p w14:paraId="3F589897" w14:textId="77777777" w:rsidR="007346D3" w:rsidRDefault="007346D3" w:rsidP="00734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22FD" w14:paraId="08805A1E" w14:textId="77777777" w:rsidTr="00A22C35">
        <w:trPr>
          <w:trHeight w:val="129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7C02A68" w14:textId="6A499F79" w:rsidR="00E622FD" w:rsidRDefault="00E622FD" w:rsidP="00E622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bookmarkStart w:id="1" w:name="_GoBack" w:colFirst="1" w:colLast="1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F7E109" w14:textId="77777777" w:rsidR="00E622FD" w:rsidRPr="00801D71" w:rsidRDefault="00E622FD" w:rsidP="00E622FD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sz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Výstup sa zameriava na teoretické informácie </w:t>
            </w:r>
            <w:r>
              <w:rPr>
                <w:rFonts w:asciiTheme="minorHAnsi" w:hAnsiTheme="minorHAnsi" w:cstheme="minorHAnsi"/>
                <w:sz w:val="16"/>
              </w:rPr>
              <w:t>v</w:t>
            </w:r>
            <w:r w:rsidRPr="00801D71">
              <w:rPr>
                <w:rFonts w:asciiTheme="minorHAnsi" w:hAnsiTheme="minorHAnsi" w:cstheme="minorHAnsi"/>
                <w:sz w:val="16"/>
              </w:rPr>
              <w:t>erejné</w:t>
            </w:r>
            <w:r>
              <w:rPr>
                <w:rFonts w:asciiTheme="minorHAnsi" w:hAnsiTheme="minorHAnsi" w:cstheme="minorHAnsi"/>
                <w:sz w:val="16"/>
              </w:rPr>
              <w:t>ho zdravotníctva</w:t>
            </w:r>
            <w:r w:rsidRPr="00801D71">
              <w:rPr>
                <w:rFonts w:asciiTheme="minorHAnsi" w:hAnsiTheme="minorHAnsi" w:cstheme="minorHAnsi"/>
                <w:sz w:val="16"/>
              </w:rPr>
              <w:t xml:space="preserve"> a manažment mimoriadnych situácií</w:t>
            </w:r>
            <w:r>
              <w:rPr>
                <w:rFonts w:asciiTheme="minorHAnsi" w:hAnsiTheme="minorHAnsi" w:cstheme="minorHAnsi"/>
                <w:sz w:val="16"/>
              </w:rPr>
              <w:t>.</w:t>
            </w:r>
          </w:p>
          <w:p w14:paraId="1C80BFB5" w14:textId="77777777" w:rsidR="00E622FD" w:rsidRDefault="00E622FD" w:rsidP="00E622FD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Informácie z verejného zdravotníctva a manažmentu sú neoddeliteľnou súčasťou základných poznatkov pre študentov daného odboru. </w:t>
            </w:r>
          </w:p>
          <w:p w14:paraId="12474764" w14:textId="77777777" w:rsidR="00E622FD" w:rsidRDefault="00E622FD" w:rsidP="00E622FD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Uvedená štúdia slúži na dodržiavanie ochranno-bezpečnostných predpisov pre jednotlivca.</w:t>
            </w:r>
          </w:p>
          <w:p w14:paraId="538A897D" w14:textId="77777777" w:rsidR="00E622FD" w:rsidRDefault="00E622FD" w:rsidP="00E622FD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/</w:t>
            </w:r>
          </w:p>
          <w:p w14:paraId="04C9692A" w14:textId="77777777" w:rsidR="00E622FD" w:rsidRPr="005532D7" w:rsidRDefault="00E622FD" w:rsidP="00E622FD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5532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The output focuses on theoretical public health information and emergency management.</w:t>
            </w:r>
          </w:p>
          <w:p w14:paraId="3DD42130" w14:textId="77777777" w:rsidR="00E622FD" w:rsidRPr="005532D7" w:rsidRDefault="00E622FD" w:rsidP="00E622FD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5532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Public health and emergency management information is an integral part of the core knowledge for students of the discipline. </w:t>
            </w:r>
          </w:p>
          <w:p w14:paraId="0E09F95F" w14:textId="77777777" w:rsidR="00E622FD" w:rsidRDefault="00E622FD" w:rsidP="00E622FD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5532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The above study is used to comply with protective safety regulations for individuals.</w:t>
            </w:r>
          </w:p>
          <w:p w14:paraId="3227A662" w14:textId="311BA78F" w:rsidR="00E622FD" w:rsidRPr="00CC495A" w:rsidRDefault="00E622FD" w:rsidP="00E622FD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3626C5D5" w14:textId="77777777" w:rsidR="00E622FD" w:rsidRDefault="00E622FD" w:rsidP="00E62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1"/>
    </w:tbl>
    <w:p w14:paraId="3F0DED4B" w14:textId="2E8347AA" w:rsidR="00AE6AF5" w:rsidRDefault="00AE6AF5"/>
    <w:sectPr w:rsidR="00AE6A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8E4A1" w14:textId="77777777" w:rsidR="007D6548" w:rsidRDefault="007D6548">
      <w:pPr>
        <w:spacing w:line="240" w:lineRule="auto"/>
      </w:pPr>
      <w:r>
        <w:separator/>
      </w:r>
    </w:p>
  </w:endnote>
  <w:endnote w:type="continuationSeparator" w:id="0">
    <w:p w14:paraId="5C92920C" w14:textId="77777777" w:rsidR="007D6548" w:rsidRDefault="007D65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00000000" w:usb1="500078FF" w:usb2="00000021" w:usb3="00000000" w:csb0="600001BF" w:csb1="DFF7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15888" w14:textId="77777777" w:rsidR="007D6548" w:rsidRDefault="007D6548">
      <w:pPr>
        <w:spacing w:after="0"/>
      </w:pPr>
      <w:r>
        <w:separator/>
      </w:r>
    </w:p>
  </w:footnote>
  <w:footnote w:type="continuationSeparator" w:id="0">
    <w:p w14:paraId="7D5F94BC" w14:textId="77777777" w:rsidR="007D6548" w:rsidRDefault="007D654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006015"/>
    <w:rsid w:val="000728AA"/>
    <w:rsid w:val="000C22BD"/>
    <w:rsid w:val="000E03E5"/>
    <w:rsid w:val="00100018"/>
    <w:rsid w:val="00120136"/>
    <w:rsid w:val="00176AE8"/>
    <w:rsid w:val="00190A9C"/>
    <w:rsid w:val="001C08B3"/>
    <w:rsid w:val="001D7D8F"/>
    <w:rsid w:val="00211BB7"/>
    <w:rsid w:val="0025170E"/>
    <w:rsid w:val="00262D7E"/>
    <w:rsid w:val="002E7E48"/>
    <w:rsid w:val="00327906"/>
    <w:rsid w:val="003368DE"/>
    <w:rsid w:val="00336DF4"/>
    <w:rsid w:val="00404B08"/>
    <w:rsid w:val="004647BF"/>
    <w:rsid w:val="00485D04"/>
    <w:rsid w:val="004A7967"/>
    <w:rsid w:val="004C0ADE"/>
    <w:rsid w:val="004C47AA"/>
    <w:rsid w:val="004C7349"/>
    <w:rsid w:val="0050230B"/>
    <w:rsid w:val="00507AFD"/>
    <w:rsid w:val="0053512B"/>
    <w:rsid w:val="005446A9"/>
    <w:rsid w:val="005532D7"/>
    <w:rsid w:val="00561C27"/>
    <w:rsid w:val="006B48E8"/>
    <w:rsid w:val="0073261A"/>
    <w:rsid w:val="007346D3"/>
    <w:rsid w:val="007A4E3A"/>
    <w:rsid w:val="007D5DE1"/>
    <w:rsid w:val="007D6548"/>
    <w:rsid w:val="00801124"/>
    <w:rsid w:val="00801D71"/>
    <w:rsid w:val="00820582"/>
    <w:rsid w:val="00846866"/>
    <w:rsid w:val="008A326D"/>
    <w:rsid w:val="00911B26"/>
    <w:rsid w:val="0092141E"/>
    <w:rsid w:val="00923DD6"/>
    <w:rsid w:val="00943414"/>
    <w:rsid w:val="00955694"/>
    <w:rsid w:val="00965CF1"/>
    <w:rsid w:val="0098012E"/>
    <w:rsid w:val="009A7080"/>
    <w:rsid w:val="00A1200F"/>
    <w:rsid w:val="00A22C35"/>
    <w:rsid w:val="00A375A0"/>
    <w:rsid w:val="00A64E77"/>
    <w:rsid w:val="00AA26C1"/>
    <w:rsid w:val="00AE6AF5"/>
    <w:rsid w:val="00B0141F"/>
    <w:rsid w:val="00B12830"/>
    <w:rsid w:val="00B74826"/>
    <w:rsid w:val="00B753AC"/>
    <w:rsid w:val="00BB1A23"/>
    <w:rsid w:val="00C40FAB"/>
    <w:rsid w:val="00C93149"/>
    <w:rsid w:val="00CC495A"/>
    <w:rsid w:val="00D0018F"/>
    <w:rsid w:val="00D01A92"/>
    <w:rsid w:val="00D3297D"/>
    <w:rsid w:val="00D357A5"/>
    <w:rsid w:val="00D57764"/>
    <w:rsid w:val="00D65C6D"/>
    <w:rsid w:val="00D671F9"/>
    <w:rsid w:val="00DC6E78"/>
    <w:rsid w:val="00DF673C"/>
    <w:rsid w:val="00E0267E"/>
    <w:rsid w:val="00E1662D"/>
    <w:rsid w:val="00E32D0C"/>
    <w:rsid w:val="00E42110"/>
    <w:rsid w:val="00E5113C"/>
    <w:rsid w:val="00E622FD"/>
    <w:rsid w:val="00E72ED9"/>
    <w:rsid w:val="00EA08D8"/>
    <w:rsid w:val="00EB194F"/>
    <w:rsid w:val="00ED6A26"/>
    <w:rsid w:val="00EE5AED"/>
    <w:rsid w:val="00F0134C"/>
    <w:rsid w:val="00F12DCA"/>
    <w:rsid w:val="00F31DA7"/>
    <w:rsid w:val="00F359F4"/>
    <w:rsid w:val="00F45758"/>
    <w:rsid w:val="00F72524"/>
    <w:rsid w:val="00FF718D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368AA"/>
  <w15:docId w15:val="{D8723ADC-8828-4121-9AF7-87F58FFA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1C08B3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1C08B3"/>
  </w:style>
  <w:style w:type="paragraph" w:styleId="Odsekzoznamu">
    <w:name w:val="List Paragraph"/>
    <w:basedOn w:val="Normlny"/>
    <w:uiPriority w:val="99"/>
    <w:rsid w:val="00F12DCA"/>
    <w:pPr>
      <w:ind w:left="720"/>
      <w:contextualSpacing/>
    </w:pPr>
  </w:style>
  <w:style w:type="character" w:customStyle="1" w:styleId="Nadpis3Char">
    <w:name w:val="Nadpis 3 Char"/>
    <w:basedOn w:val="Predvolenpsmoodseku"/>
    <w:rsid w:val="007346D3"/>
    <w:rPr>
      <w:rFonts w:ascii="Times New Roman" w:eastAsia="Times New Roman" w:hAnsi="Times New Roman" w:cs="Times New Roman"/>
      <w:color w:val="4F81BD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8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elisk</cp:lastModifiedBy>
  <cp:revision>2</cp:revision>
  <dcterms:created xsi:type="dcterms:W3CDTF">2024-04-11T08:48:00Z</dcterms:created>
  <dcterms:modified xsi:type="dcterms:W3CDTF">2024-04-11T08:48:00Z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